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A6AA2" w:rsidR="6AA13900" w:rsidP="0EAECF19" w:rsidRDefault="6AA13900" w14:paraId="44F7C618" w14:textId="57B72CB8">
      <w:pPr>
        <w:pStyle w:val="Normal"/>
        <w:jc w:val="both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s-ES"/>
        </w:rPr>
      </w:pPr>
      <w:r w:rsidRPr="0EAECF19" w:rsidR="5DF83F3B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s-ES"/>
        </w:rPr>
        <w:t>Cierre fiscal 2025: el volumen récord de información obliga a los despachos y empresas a digitalizarse rumbo a 2026</w:t>
      </w:r>
    </w:p>
    <w:p w:rsidRPr="000A6AA2" w:rsidR="6AA13900" w:rsidP="0EAECF19" w:rsidRDefault="6AA13900" w14:paraId="3490E496" w14:textId="4A884B28">
      <w:pPr>
        <w:jc w:val="both"/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El ecosistema fiscal mexicano vive uno de sus años con mayor saturación de información. Las organizaciones que no trabajen con datos confiables y actualizados enfrentarán un cierre fiscal más complejo y con mayores riesgos operativos.</w:t>
      </w:r>
    </w:p>
    <w:p w:rsidRPr="000A6AA2" w:rsidR="6AA13900" w:rsidP="251D5DF9" w:rsidRDefault="6AA13900" w14:paraId="06A78E18" w14:textId="7665DC28">
      <w:p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6E950F83" w:rsidR="03797711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Ciudad de México, </w:t>
      </w:r>
      <w:r w:rsidRPr="6E950F83" w:rsidR="58B914CC">
        <w:rPr>
          <w:rFonts w:ascii="Arial" w:hAnsi="Arial" w:eastAsia="Arial" w:cs="Arial"/>
          <w:noProof w:val="0"/>
          <w:sz w:val="24"/>
          <w:szCs w:val="24"/>
          <w:lang w:val="es-ES"/>
        </w:rPr>
        <w:t>16</w:t>
      </w:r>
      <w:r w:rsidRPr="6E950F83" w:rsidR="03797711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de diciembre de 2025.—</w:t>
      </w:r>
      <w:r w:rsidRPr="6E950F83" w:rsidR="03797711">
        <w:rPr>
          <w:rFonts w:ascii="Arial" w:hAnsi="Arial" w:eastAsia="Arial" w:cs="Arial"/>
          <w:noProof w:val="0"/>
          <w:sz w:val="24"/>
          <w:szCs w:val="24"/>
          <w:lang w:val="es-ES"/>
        </w:rPr>
        <w:t>El</w:t>
      </w:r>
      <w:r w:rsidRPr="6E950F83" w:rsidR="03797711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cierre fiscal de 2025 se presenta como uno de los más demandantes para la profesión contable. Entre enero y octubre, el </w:t>
      </w:r>
      <w:r w:rsidRPr="6E950F83" w:rsidR="0379771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Servicio de Administración Tributaria (SAT)</w:t>
      </w:r>
      <w:r w:rsidRPr="6E950F83" w:rsidR="03797711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registró más de </w:t>
      </w:r>
      <w:r w:rsidRPr="6E950F83" w:rsidR="0379771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28.5 mil millones de CFDI emitidos</w:t>
      </w:r>
      <w:r w:rsidRPr="6E950F83" w:rsidR="03797711">
        <w:rPr>
          <w:rFonts w:ascii="Arial" w:hAnsi="Arial" w:eastAsia="Arial" w:cs="Arial"/>
          <w:noProof w:val="0"/>
          <w:sz w:val="24"/>
          <w:szCs w:val="24"/>
          <w:lang w:val="es-ES"/>
        </w:rPr>
        <w:t>, una tendencia que apunta a superar los 33 mil millones al finalizar el año.</w:t>
      </w:r>
    </w:p>
    <w:p w:rsidRPr="000A6AA2" w:rsidR="6AA13900" w:rsidP="0EAECF19" w:rsidRDefault="6AA13900" w14:paraId="48F84333" w14:textId="5FEB52C9">
      <w:p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15347B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El volumen obliga a los despachos y empresas a revisar y conciliar grandes cantidades de datos en menos tiempo, con un nivel de precisión más alto. Esta presión se incrementa debido a que las </w:t>
      </w:r>
      <w:r w:rsidRPr="0E15347B" w:rsidR="5DF83F3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revisiones electrónicas</w:t>
      </w:r>
      <w:r w:rsidRPr="0E15347B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continúan al alza. El </w:t>
      </w:r>
      <w:hyperlink r:id="R40bc13b988104272">
        <w:r w:rsidRPr="0E15347B" w:rsidR="5DF83F3B">
          <w:rPr>
            <w:rStyle w:val="Hipervnculo"/>
            <w:rFonts w:ascii="Arial" w:hAnsi="Arial" w:eastAsia="Arial" w:cs="Arial"/>
            <w:i w:val="1"/>
            <w:iCs w:val="1"/>
            <w:noProof w:val="0"/>
            <w:sz w:val="24"/>
            <w:szCs w:val="24"/>
            <w:lang w:val="es-ES"/>
          </w:rPr>
          <w:t>Informe Tributario y de Gestión</w:t>
        </w:r>
      </w:hyperlink>
      <w:r w:rsidRPr="0E15347B" w:rsidR="04F596C8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0E15347B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d</w:t>
      </w:r>
      <w:r w:rsidRPr="0E15347B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el SAT</w:t>
      </w:r>
      <w:r w:rsidRPr="0E15347B" w:rsidR="12EA3A41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0E15347B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señala que estas revisiones han aumentado su alcance gracias al cruce automático de comprobantes, declaraciones y operaciones reportadas. El modelo de “cumplimiento continuo” es ya una práctica establecida, lo que convierte al cierre fiscal en un proceso acumulado durante todo el año.</w:t>
      </w:r>
    </w:p>
    <w:p w:rsidRPr="000A6AA2" w:rsidR="6AA13900" w:rsidP="0EAECF19" w:rsidRDefault="6AA13900" w14:paraId="58642B8A" w14:textId="6C474805">
      <w:p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15347B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Entre las inconsistencias que más detecta la autoridad destacan la clasificación contable incorrecta, la falta de conciliación entre CFDI y operaciones, y errores derivados de información duplicada o incompleta. Aunque México cuenta con uno de los sistemas de facturación electrónica más avanzados —como ha señalado la </w:t>
      </w:r>
      <w:r w:rsidRPr="0E15347B" w:rsidR="5DF83F3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OCDE</w:t>
      </w:r>
      <w:r w:rsidRPr="0E15347B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en múltiples evaluaciones disponibles</w:t>
      </w:r>
      <w:r w:rsidRPr="0E15347B" w:rsidR="77237AFA">
        <w:rPr>
          <w:rFonts w:ascii="Arial" w:hAnsi="Arial" w:eastAsia="Arial" w:cs="Arial"/>
          <w:noProof w:val="0"/>
          <w:sz w:val="24"/>
          <w:szCs w:val="24"/>
          <w:lang w:val="es-ES"/>
        </w:rPr>
        <w:t>,</w:t>
      </w:r>
      <w:r w:rsidRPr="0E15347B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gran parte de los procesos dentro de los despachos sigue siendo manual, lo que incrementa la posibilidad de errores al cerrar el ejercicio.</w:t>
      </w:r>
    </w:p>
    <w:p w:rsidRPr="000A6AA2" w:rsidR="6AA13900" w:rsidP="0EAECF19" w:rsidRDefault="6AA13900" w14:paraId="00E25CDC" w14:textId="6957D5F1">
      <w:pPr>
        <w:pStyle w:val="Normal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La digitalización como vía para un cierre fiscal seguro</w:t>
      </w:r>
    </w:p>
    <w:p w:rsidRPr="000A6AA2" w:rsidR="6AA13900" w:rsidP="0EAECF19" w:rsidRDefault="6AA13900" w14:paraId="0338AD60" w14:textId="3FD3457C">
      <w:p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El cierre fiscal de 2025 confirma la necesidad de que los despachos operen con herramientas que permitan revisar, depurar y relacionar información de forma ordenada y oportuna. La carga documental ya no puede gestionarse sin apoyo tecnológico, por lo que la digitalización se ha convertido en un componente central del trabajo contable.</w:t>
      </w:r>
    </w:p>
    <w:p w:rsidRPr="000A6AA2" w:rsidR="6AA13900" w:rsidP="0EAECF19" w:rsidRDefault="6AA13900" w14:paraId="5C122FB2" w14:textId="3DC31039">
      <w:p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En este contexto, </w:t>
      </w:r>
      <w:r w:rsidRPr="0EAECF19" w:rsidR="5DF83F3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Siigo Fiscal</w:t>
      </w:r>
      <w:r w:rsidRPr="0EAECF19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, parte del ecosistema de Siigo Aspel, se ha posicionado como una herramienta diseñada específicamente para enfrentar esta etapa del proceso contable en México. Su función principal es ayudar a que los despachos tengan control sobre el ciclo completo de información fiscal. Entre sus beneficios destacan:</w:t>
      </w:r>
    </w:p>
    <w:p w:rsidRPr="000A6AA2" w:rsidR="6AA13900" w:rsidP="0EAECF19" w:rsidRDefault="6AA13900" w14:paraId="145433D4" w14:textId="63DDCCED">
      <w:pPr>
        <w:pStyle w:val="Normal"/>
        <w:numPr>
          <w:ilvl w:val="0"/>
          <w:numId w:val="6"/>
        </w:num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Conciliación automática de CFDI</w:t>
      </w:r>
      <w:r w:rsidRPr="0EAECF19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, lo que permite identificar diferencias entre comprobantes y registros contables sin recurrir a procesos manuales.</w:t>
      </w:r>
    </w:p>
    <w:p w:rsidRPr="000A6AA2" w:rsidR="6AA13900" w:rsidP="0EAECF19" w:rsidRDefault="6AA13900" w14:paraId="3E019C46" w14:textId="34D5A862">
      <w:pPr>
        <w:pStyle w:val="Normal"/>
        <w:numPr>
          <w:ilvl w:val="0"/>
          <w:numId w:val="6"/>
        </w:num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Detección temprana de inconsistencias</w:t>
      </w:r>
      <w:r w:rsidRPr="0EAECF19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, como documentos duplicados, cancelaciones no reconocidas o relaciones incompletas entre CFDI y operaciones.</w:t>
      </w:r>
    </w:p>
    <w:p w:rsidRPr="000A6AA2" w:rsidR="6AA13900" w:rsidP="0EAECF19" w:rsidRDefault="6AA13900" w14:paraId="131D2B92" w14:textId="410DD1AC">
      <w:pPr>
        <w:pStyle w:val="Normal"/>
        <w:numPr>
          <w:ilvl w:val="0"/>
          <w:numId w:val="6"/>
        </w:num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Organización documental centralizada</w:t>
      </w:r>
      <w:r w:rsidRPr="0EAECF19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, facilitando el acceso a la información fiscal necesaria para validaciones internas o futuras revisiones del SAT.</w:t>
      </w:r>
    </w:p>
    <w:p w:rsidRPr="000A6AA2" w:rsidR="6AA13900" w:rsidP="0EAECF19" w:rsidRDefault="6AA13900" w14:paraId="12267854" w14:textId="588FFE3A">
      <w:pPr>
        <w:pStyle w:val="Normal"/>
        <w:numPr>
          <w:ilvl w:val="0"/>
          <w:numId w:val="6"/>
        </w:num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Visión clara del estatus fiscal del cliente</w:t>
      </w:r>
      <w:r w:rsidRPr="0EAECF19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, lo que permite anticipar posibles desviaciones antes de presentar declaraciones.</w:t>
      </w:r>
    </w:p>
    <w:p w:rsidRPr="000A6AA2" w:rsidR="6AA13900" w:rsidP="0EAECF19" w:rsidRDefault="6AA13900" w14:paraId="0D8A6CDC" w14:textId="62537329">
      <w:pPr>
        <w:pStyle w:val="Normal"/>
        <w:numPr>
          <w:ilvl w:val="0"/>
          <w:numId w:val="6"/>
        </w:num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Procesos de revisión más ágiles</w:t>
      </w:r>
      <w:r w:rsidRPr="0EAECF19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, al reducir tareas que suelen extenderse durante el cierre y que afectan la calidad del análisis financiero.</w:t>
      </w:r>
    </w:p>
    <w:p w:rsidRPr="000A6AA2" w:rsidR="6AA13900" w:rsidP="0EAECF19" w:rsidRDefault="6AA13900" w14:paraId="389F2513" w14:textId="319BD86B">
      <w:p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El uso de este tipo de herramientas no solo apoya el cumplimiento regulatorio, sino que permite que los equipos contables dediquen más tiempo a interpretar la información y generar valor para sus clientes o empresas. La operación manual ya no es suficiente para sostener el ritmo de crecimiento en la emisión de CFDI ni la exigencia de precisión que demanda la autoridad fiscal.</w:t>
      </w:r>
    </w:p>
    <w:p w:rsidRPr="000A6AA2" w:rsidR="6AA13900" w:rsidP="0EAECF19" w:rsidRDefault="6AA13900" w14:paraId="28459F26" w14:textId="2A4D4248">
      <w:pPr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0EAECF19" w:rsidR="5DF83F3B">
        <w:rPr>
          <w:rFonts w:ascii="Arial" w:hAnsi="Arial" w:eastAsia="Arial" w:cs="Arial"/>
          <w:noProof w:val="0"/>
          <w:sz w:val="24"/>
          <w:szCs w:val="24"/>
          <w:lang w:val="es-ES"/>
        </w:rPr>
        <w:t>El cierre fiscal de 2025 marca un punto de transición. Las organizaciones que adopten procesos digitales podrán documentar adecuadamente su operación, minimizar errores y avanzar hacia un 2026 más ordenado y con mayor claridad operativa. La profesión contable se fortalece cuando combina experiencia técnica con herramientas que aseguren información confiable y accesible.</w:t>
      </w:r>
    </w:p>
    <w:p w:rsidRPr="000A6AA2" w:rsidR="6AA13900" w:rsidP="008E7C77" w:rsidRDefault="6AA13900" w14:paraId="2BFDE77F" w14:textId="2B3135A1">
      <w:pPr>
        <w:jc w:val="both"/>
      </w:pPr>
    </w:p>
    <w:sectPr w:rsidRPr="000A6AA2" w:rsidR="6AA1390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6a49ab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76E33"/>
    <w:multiLevelType w:val="multilevel"/>
    <w:tmpl w:val="AD5A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46A89"/>
    <w:multiLevelType w:val="hybridMultilevel"/>
    <w:tmpl w:val="C534F36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CA1E10"/>
    <w:multiLevelType w:val="hybridMultilevel"/>
    <w:tmpl w:val="E898D202"/>
    <w:lvl w:ilvl="0" w:tplc="DC2C29D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7A151E"/>
    <w:multiLevelType w:val="hybridMultilevel"/>
    <w:tmpl w:val="3D682282"/>
    <w:lvl w:ilvl="0" w:tplc="DC2C29D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A50AFC"/>
    <w:multiLevelType w:val="hybridMultilevel"/>
    <w:tmpl w:val="4302006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846096667">
    <w:abstractNumId w:val="3"/>
  </w:num>
  <w:num w:numId="2" w16cid:durableId="1518886191">
    <w:abstractNumId w:val="2"/>
  </w:num>
  <w:num w:numId="3" w16cid:durableId="1364017355">
    <w:abstractNumId w:val="1"/>
  </w:num>
  <w:num w:numId="4" w16cid:durableId="1948542268">
    <w:abstractNumId w:val="4"/>
  </w:num>
  <w:num w:numId="5" w16cid:durableId="34433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08484"/>
    <w:rsid w:val="000A6AA2"/>
    <w:rsid w:val="000B41E3"/>
    <w:rsid w:val="002B69BE"/>
    <w:rsid w:val="002D50F7"/>
    <w:rsid w:val="00313CE7"/>
    <w:rsid w:val="00331C58"/>
    <w:rsid w:val="00490267"/>
    <w:rsid w:val="00625D33"/>
    <w:rsid w:val="006A1AEC"/>
    <w:rsid w:val="006D00B1"/>
    <w:rsid w:val="0078011E"/>
    <w:rsid w:val="008317FB"/>
    <w:rsid w:val="008E7C77"/>
    <w:rsid w:val="00A24374"/>
    <w:rsid w:val="00A254B1"/>
    <w:rsid w:val="00BA446A"/>
    <w:rsid w:val="00C11794"/>
    <w:rsid w:val="00DE110B"/>
    <w:rsid w:val="00F4749D"/>
    <w:rsid w:val="03797711"/>
    <w:rsid w:val="03966FB4"/>
    <w:rsid w:val="04F596C8"/>
    <w:rsid w:val="05DFC54F"/>
    <w:rsid w:val="062C0389"/>
    <w:rsid w:val="06B9DF58"/>
    <w:rsid w:val="0862117F"/>
    <w:rsid w:val="08E35EBD"/>
    <w:rsid w:val="0A869CA3"/>
    <w:rsid w:val="0B35FCF2"/>
    <w:rsid w:val="0BF11606"/>
    <w:rsid w:val="0C23F6AB"/>
    <w:rsid w:val="0CA957A8"/>
    <w:rsid w:val="0E15347B"/>
    <w:rsid w:val="0EAECF19"/>
    <w:rsid w:val="1050D80B"/>
    <w:rsid w:val="126BA12C"/>
    <w:rsid w:val="12EA3A41"/>
    <w:rsid w:val="13A1DA2F"/>
    <w:rsid w:val="13B76B76"/>
    <w:rsid w:val="14FE83FC"/>
    <w:rsid w:val="153F97E3"/>
    <w:rsid w:val="15EB89AA"/>
    <w:rsid w:val="1678300D"/>
    <w:rsid w:val="19CBC81D"/>
    <w:rsid w:val="19F9940C"/>
    <w:rsid w:val="1A53D6C9"/>
    <w:rsid w:val="1C5E96B6"/>
    <w:rsid w:val="1C88BFFE"/>
    <w:rsid w:val="1D83D023"/>
    <w:rsid w:val="1F50CE94"/>
    <w:rsid w:val="1F52AB1C"/>
    <w:rsid w:val="20160763"/>
    <w:rsid w:val="21A8F819"/>
    <w:rsid w:val="22E6F9A6"/>
    <w:rsid w:val="2343C715"/>
    <w:rsid w:val="24995929"/>
    <w:rsid w:val="251D5DF9"/>
    <w:rsid w:val="25FA3416"/>
    <w:rsid w:val="2650DBAF"/>
    <w:rsid w:val="2867BF50"/>
    <w:rsid w:val="2AE18346"/>
    <w:rsid w:val="2E451F9D"/>
    <w:rsid w:val="2E7F22D6"/>
    <w:rsid w:val="2F7E6CAA"/>
    <w:rsid w:val="314E0F3D"/>
    <w:rsid w:val="328DF8BE"/>
    <w:rsid w:val="342B38A0"/>
    <w:rsid w:val="3444603A"/>
    <w:rsid w:val="35217BB7"/>
    <w:rsid w:val="37351EAC"/>
    <w:rsid w:val="399CD974"/>
    <w:rsid w:val="3B645C8F"/>
    <w:rsid w:val="3C377A33"/>
    <w:rsid w:val="3D43C473"/>
    <w:rsid w:val="3DFA3294"/>
    <w:rsid w:val="3F83D1C9"/>
    <w:rsid w:val="3FA684BC"/>
    <w:rsid w:val="40D7CC01"/>
    <w:rsid w:val="414822FD"/>
    <w:rsid w:val="434ADDAE"/>
    <w:rsid w:val="4375B4F7"/>
    <w:rsid w:val="4434E60F"/>
    <w:rsid w:val="448A43BB"/>
    <w:rsid w:val="44B390EE"/>
    <w:rsid w:val="455CC29A"/>
    <w:rsid w:val="4589B82F"/>
    <w:rsid w:val="45C0C1C1"/>
    <w:rsid w:val="46A34036"/>
    <w:rsid w:val="473852A5"/>
    <w:rsid w:val="4979AC69"/>
    <w:rsid w:val="499FAE77"/>
    <w:rsid w:val="4A3E7DD2"/>
    <w:rsid w:val="4ACFE117"/>
    <w:rsid w:val="4CF2670D"/>
    <w:rsid w:val="4D61A570"/>
    <w:rsid w:val="4F1FC186"/>
    <w:rsid w:val="50422974"/>
    <w:rsid w:val="50EEA6B1"/>
    <w:rsid w:val="5188FB29"/>
    <w:rsid w:val="52127F42"/>
    <w:rsid w:val="52D9D7E0"/>
    <w:rsid w:val="53018D62"/>
    <w:rsid w:val="530DDE63"/>
    <w:rsid w:val="531AA93D"/>
    <w:rsid w:val="536601E2"/>
    <w:rsid w:val="53CE49DC"/>
    <w:rsid w:val="541068F1"/>
    <w:rsid w:val="542A3A03"/>
    <w:rsid w:val="5430E8ED"/>
    <w:rsid w:val="555ED70B"/>
    <w:rsid w:val="55AADD36"/>
    <w:rsid w:val="55B647D4"/>
    <w:rsid w:val="55C78F3E"/>
    <w:rsid w:val="5650F002"/>
    <w:rsid w:val="57826EC2"/>
    <w:rsid w:val="57E08484"/>
    <w:rsid w:val="58B914CC"/>
    <w:rsid w:val="59C580E3"/>
    <w:rsid w:val="5AAF5A80"/>
    <w:rsid w:val="5CFB03CC"/>
    <w:rsid w:val="5D894008"/>
    <w:rsid w:val="5DF5462E"/>
    <w:rsid w:val="5DF83F3B"/>
    <w:rsid w:val="5E3AF881"/>
    <w:rsid w:val="5FFD8165"/>
    <w:rsid w:val="60D8DF7E"/>
    <w:rsid w:val="612C793F"/>
    <w:rsid w:val="629DA8A2"/>
    <w:rsid w:val="62C2860C"/>
    <w:rsid w:val="639A055F"/>
    <w:rsid w:val="642EE561"/>
    <w:rsid w:val="65C79D25"/>
    <w:rsid w:val="65CFD158"/>
    <w:rsid w:val="69B038DD"/>
    <w:rsid w:val="6AA13900"/>
    <w:rsid w:val="6B0F216B"/>
    <w:rsid w:val="6C3D134A"/>
    <w:rsid w:val="6C59F34A"/>
    <w:rsid w:val="6D8B4D9E"/>
    <w:rsid w:val="6E950F83"/>
    <w:rsid w:val="704859D6"/>
    <w:rsid w:val="74B0BCBB"/>
    <w:rsid w:val="752E448F"/>
    <w:rsid w:val="77237AFA"/>
    <w:rsid w:val="77B29E74"/>
    <w:rsid w:val="780F4427"/>
    <w:rsid w:val="7B6212AE"/>
    <w:rsid w:val="7B9FB375"/>
    <w:rsid w:val="7E4CE384"/>
    <w:rsid w:val="7EB73CB8"/>
    <w:rsid w:val="7EF6BB37"/>
    <w:rsid w:val="7F3E22BF"/>
    <w:rsid w:val="7FA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8484"/>
  <w15:chartTrackingRefBased/>
  <w15:docId w15:val="{FF72FEC3-4444-4E11-8A7C-D3A40C75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69B038DD"/>
    <w:rPr>
      <w:color w:val="467886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0B41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3CE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2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6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://omawww.sat.gob.mx/cifras_sat/Paginas/DatosAbiertos/informes.html" TargetMode="External" Id="R40bc13b98810427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27DD702F437D4A925A2A15EF065D92" ma:contentTypeVersion="14" ma:contentTypeDescription="Crear nuevo documento." ma:contentTypeScope="" ma:versionID="d864ea2fd082a07680d33036cb1adc1f">
  <xsd:schema xmlns:xsd="http://www.w3.org/2001/XMLSchema" xmlns:xs="http://www.w3.org/2001/XMLSchema" xmlns:p="http://schemas.microsoft.com/office/2006/metadata/properties" xmlns:ns2="df9709d2-c72f-425c-a2b2-551cd8d9876b" xmlns:ns3="256f232d-bed8-49c3-9813-458af89ed9bf" targetNamespace="http://schemas.microsoft.com/office/2006/metadata/properties" ma:root="true" ma:fieldsID="36182acdefaa4d6a3a0b6da2b9ecbeac" ns2:_="" ns3:_="">
    <xsd:import namespace="df9709d2-c72f-425c-a2b2-551cd8d9876b"/>
    <xsd:import namespace="256f232d-bed8-49c3-9813-458af89ed9b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709d2-c72f-425c-a2b2-551cd8d987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f232d-bed8-49c3-9813-458af89ed9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137a86a-5b00-4c2f-8f95-8285f7e521a2}" ma:internalName="TaxCatchAll" ma:showField="CatchAllData" ma:web="256f232d-bed8-49c3-9813-458af89ed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6f232d-bed8-49c3-9813-458af89ed9bf" xsi:nil="true"/>
    <lcf76f155ced4ddcb4097134ff3c332f xmlns="df9709d2-c72f-425c-a2b2-551cd8d98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FCAFD-8F2C-4054-8C65-AC0720A0FBA0}"/>
</file>

<file path=customXml/itemProps2.xml><?xml version="1.0" encoding="utf-8"?>
<ds:datastoreItem xmlns:ds="http://schemas.openxmlformats.org/officeDocument/2006/customXml" ds:itemID="{6CE3F92D-DEB6-45EC-A443-6139C781F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9A51F-3165-4D7F-B170-147D82FBF026}">
  <ds:schemaRefs>
    <ds:schemaRef ds:uri="http://schemas.microsoft.com/office/2006/metadata/properties"/>
    <ds:schemaRef ds:uri="http://schemas.microsoft.com/office/infopath/2007/PartnerControls"/>
    <ds:schemaRef ds:uri="256f232d-bed8-49c3-9813-458af89ed9bf"/>
    <ds:schemaRef ds:uri="df9709d2-c72f-425c-a2b2-551cd8d9876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Estephania Anaid Bustos Mendez</dc:creator>
  <keywords/>
  <dc:description/>
  <lastModifiedBy>Ernesto Roy</lastModifiedBy>
  <revision>6</revision>
  <dcterms:created xsi:type="dcterms:W3CDTF">2025-12-10T17:14:00.0000000Z</dcterms:created>
  <dcterms:modified xsi:type="dcterms:W3CDTF">2025-12-16T00:44:48.5197518Z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0x0101000927DD702F437D4A925A2A15EF065D92</vt:lpwstr>
  </property>
  <property fmtid="{D5CDD505-2E9C-101B-9397-08002B2CF9AE}" pid="3" name="MediaServiceImageTags">
    <vt:lpwstr/>
  </property>
</Properties>
</file>